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May, 2024</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10.3.4.1</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co-existence evaluation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 In the previous RAN4 meeting, there were no much discussions for coexistence evaluations for 14800MHz to 15350MHz due to the TU limitation. </w:t>
      </w:r>
      <w:r>
        <w:rPr>
          <w:rFonts w:hint="eastAsia" w:ascii="Times New Roman" w:hAnsi="Times New Roman" w:cs="Times New Roman"/>
          <w:sz w:val="20"/>
          <w:szCs w:val="20"/>
          <w:lang w:val="en-US" w:eastAsia="zh-CN"/>
        </w:rPr>
        <w:t>In this contribution,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we would like to share </w:t>
      </w:r>
      <w:r>
        <w:rPr>
          <w:rFonts w:hint="eastAsia" w:cs="Times New Roman"/>
          <w:sz w:val="20"/>
          <w:szCs w:val="20"/>
          <w:lang w:val="en-US" w:eastAsia="zh-CN"/>
        </w:rPr>
        <w:t>some views on coexistence evaluations for 14800-15350MHz.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Lines="50" w:afterAutospacing="0"/>
              <w:ind w:left="0" w:right="0"/>
              <w:rPr>
                <w:rFonts w:hint="default"/>
                <w:b/>
                <w:lang w:eastAsia="zh-CN"/>
              </w:rPr>
            </w:pPr>
            <w:r>
              <w:rPr>
                <w:rFonts w:hint="default"/>
                <w:b/>
                <w:lang w:eastAsia="zh-CN"/>
              </w:rPr>
              <w:t>Way forward</w:t>
            </w:r>
          </w:p>
          <w:p>
            <w:pPr>
              <w:pStyle w:val="52"/>
              <w:keepNext w:val="0"/>
              <w:keepLines w:val="0"/>
              <w:suppressLineNumbers w:val="0"/>
              <w:spacing w:before="0" w:beforeAutospacing="0" w:afterAutospacing="0"/>
              <w:ind w:right="0"/>
              <w:rPr>
                <w:rFonts w:hint="default"/>
                <w:lang w:eastAsia="zh-CN"/>
              </w:rPr>
            </w:pPr>
            <w:r>
              <w:rPr>
                <w:rFonts w:hint="default"/>
                <w:lang w:eastAsia="zh-CN"/>
              </w:rPr>
              <w:t>-</w:t>
            </w:r>
            <w:r>
              <w:rPr>
                <w:rFonts w:hint="default"/>
                <w:lang w:eastAsia="zh-CN"/>
              </w:rPr>
              <w:tab/>
            </w:r>
            <w:r>
              <w:rPr>
                <w:rFonts w:hint="default"/>
                <w:lang w:eastAsia="zh-CN"/>
              </w:rPr>
              <w:t>Further discussing the following issues</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Issue 3-1 Common understanding on UE antenna array options</w:t>
            </w:r>
          </w:p>
          <w:p>
            <w:pPr>
              <w:pStyle w:val="36"/>
              <w:keepNext w:val="0"/>
              <w:keepLines w:val="0"/>
              <w:numPr>
                <w:ilvl w:val="0"/>
                <w:numId w:val="2"/>
              </w:numPr>
              <w:suppressLineNumbers w:val="0"/>
              <w:spacing w:before="0" w:beforeAutospacing="0" w:afterAutospacing="0"/>
              <w:ind w:left="1004" w:right="0" w:firstLineChars="0"/>
              <w:rPr>
                <w:rFonts w:hint="default"/>
                <w:u w:val="single"/>
              </w:rPr>
            </w:pPr>
            <w:r>
              <w:rPr>
                <w:rFonts w:hint="default"/>
              </w:rPr>
              <w:t>Option 1: “UE beamforming” (FR2 like)</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Assumed to be FR2 like UE, with two panels similar to Rel-14 NR study 38.803</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Analogue like beamforming</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1a: 2x2 antennas per panel</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FR1 like</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Assumed to be FR1 like UE with more than one TX/RX antenna</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Isotropic antennas</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2a: 2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2b: 4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2c: 4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2d: 6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2e: 8 RX</w:t>
            </w:r>
          </w:p>
          <w:p>
            <w:pPr>
              <w:keepNext w:val="0"/>
              <w:keepLines w:val="0"/>
              <w:suppressLineNumbers w:val="0"/>
              <w:spacing w:before="0" w:beforeAutospacing="0" w:afterAutospacing="0"/>
              <w:ind w:left="284"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3-2 Initial deployment scenarios</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1: Follow 38.921</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 20m ISD</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[0.2 - 0.45]km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[&lt;=0.9]km sub-urban</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2: 38.803 FR2 assumptions</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Dense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Urban macro</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Other options such as smaller ISD not precluded depending on antenna array assumptions</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 xml:space="preserve">Issue 3-3 Initial coordinated operation </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 xml:space="preserve">Option 1: </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Co-ordinated for indoor</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Both co-ordinated and un-co-ordinated for outdoor</w:t>
            </w:r>
          </w:p>
          <w:p>
            <w:pPr>
              <w:keepNext w:val="0"/>
              <w:keepLines w:val="0"/>
              <w:suppressLineNumbers w:val="0"/>
              <w:spacing w:before="0" w:beforeAutospacing="0" w:afterAutospacing="0"/>
              <w:ind w:left="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 xml:space="preserve">Issue 3-4 Initial views on BS array size </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1: 1024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2: 2048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3: Other sizes</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Issue 3-5 Initial views on BS sub-array architecture</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1: No sub-arrays</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2: Sub array size 2</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3: Sub array size 3</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4: Sub-array size 4</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5: Sub-array size 6</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6: Sub-array size 8</w:t>
            </w:r>
          </w:p>
          <w:p>
            <w:pPr>
              <w:pStyle w:val="36"/>
              <w:keepNext w:val="0"/>
              <w:keepLines w:val="0"/>
              <w:numPr>
                <w:ilvl w:val="1"/>
                <w:numId w:val="4"/>
              </w:numPr>
              <w:suppressLineNumbers w:val="0"/>
              <w:spacing w:before="0" w:beforeAutospacing="0" w:afterAutospacing="0"/>
              <w:ind w:left="1724" w:right="0" w:firstLineChars="0"/>
              <w:rPr>
                <w:rFonts w:hint="default" w:cs="Times New Roman"/>
                <w:sz w:val="20"/>
                <w:szCs w:val="20"/>
                <w:vertAlign w:val="baseline"/>
                <w:lang w:val="en-US" w:eastAsia="zh-CN"/>
              </w:rPr>
            </w:pPr>
            <w:r>
              <w:rPr>
                <w:rFonts w:hint="default"/>
              </w:rPr>
              <w:t xml:space="preserve">Option 7: Sub-array size 12 </w:t>
            </w: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20"/>
      <w:bookmarkStart w:id="4" w:name="OLE_LINK10"/>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Coexistence study</w:t>
      </w:r>
    </w:p>
    <w:p>
      <w:pPr>
        <w:pStyle w:val="47"/>
        <w:jc w:val="left"/>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Similar as 6-10GHz study item in Rel-17, further coexistence studies for 15GHz are needed to investigate the necessary ACLR/ACS requirement etc. To follow the same principle,the following coexistence scenarios should be taken into account. </w:t>
      </w:r>
    </w:p>
    <w:p>
      <w:pPr>
        <w:pStyle w:val="47"/>
        <w:rPr>
          <w:lang w:val="en-US" w:eastAsia="ja-JP"/>
        </w:rPr>
      </w:pPr>
      <w:r>
        <w:rPr>
          <w:lang w:val="en-US"/>
        </w:rPr>
        <w:t xml:space="preserve">Table </w:t>
      </w:r>
      <w:r>
        <w:rPr>
          <w:rFonts w:hint="eastAsia"/>
          <w:lang w:val="en-US" w:eastAsia="zh-CN"/>
        </w:rPr>
        <w:t>2</w:t>
      </w:r>
      <w:r>
        <w:rPr>
          <w:rFonts w:hint="eastAsia"/>
          <w:lang w:val="en-US"/>
        </w:rPr>
        <w:t>.</w:t>
      </w:r>
      <w:r>
        <w:rPr>
          <w:rFonts w:hint="eastAsia"/>
          <w:lang w:val="en-US" w:eastAsia="zh-CN"/>
        </w:rPr>
        <w:t>1</w:t>
      </w:r>
      <w:r>
        <w:rPr>
          <w:lang w:val="en-US"/>
        </w:rPr>
        <w:t xml:space="preserve">-1: Summary of considered scenario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294"/>
        <w:gridCol w:w="1191"/>
        <w:gridCol w:w="1092"/>
        <w:gridCol w:w="997"/>
        <w:gridCol w:w="1656"/>
        <w:gridCol w:w="1709"/>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No.</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Direction</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Simulation frequency</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Deployment Scenario</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eastAsia="ja-JP"/>
              </w:rPr>
            </w:pPr>
            <w:r>
              <w:rPr>
                <w:rFonts w:hint="default"/>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DL to DL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1</w:t>
            </w:r>
            <w:r>
              <w:rPr>
                <w:rFonts w:hint="eastAsia" w:eastAsia="宋体"/>
                <w:lang w:val="en-US" w:eastAsia="zh-CN"/>
              </w:rPr>
              <w:t>5</w:t>
            </w:r>
            <w:r>
              <w:rPr>
                <w:rFonts w:hint="default"/>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Urban macro</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DL to DL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1</w:t>
            </w:r>
            <w:r>
              <w:rPr>
                <w:rFonts w:hint="eastAsia" w:eastAsia="宋体"/>
                <w:lang w:val="en-US" w:eastAsia="zh-CN"/>
              </w:rPr>
              <w:t>5</w:t>
            </w:r>
            <w:r>
              <w:rPr>
                <w:rFonts w:hint="default"/>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Indoor hotspot</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DL to DL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1</w:t>
            </w:r>
            <w:r>
              <w:rPr>
                <w:rFonts w:hint="eastAsia" w:eastAsia="宋体"/>
                <w:lang w:val="en-US" w:eastAsia="zh-CN"/>
              </w:rPr>
              <w:t>5</w:t>
            </w:r>
            <w:r>
              <w:rPr>
                <w:rFonts w:hint="default"/>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Dense urban</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Down-prioritized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UL to UL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1</w:t>
            </w:r>
            <w:r>
              <w:rPr>
                <w:rFonts w:hint="eastAsia" w:eastAsia="宋体"/>
                <w:lang w:val="en-US" w:eastAsia="zh-CN"/>
              </w:rPr>
              <w:t>5</w:t>
            </w:r>
            <w:r>
              <w:rPr>
                <w:rFonts w:hint="default"/>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Urban macro</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UL to UL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1</w:t>
            </w:r>
            <w:r>
              <w:rPr>
                <w:rFonts w:hint="eastAsia" w:eastAsia="宋体"/>
                <w:lang w:val="en-US" w:eastAsia="zh-CN"/>
              </w:rPr>
              <w:t>5</w:t>
            </w:r>
            <w:r>
              <w:rPr>
                <w:rFonts w:hint="default"/>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Indoor hotspot</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lang w:val="en-US" w:eastAsia="zh-CN"/>
              </w:rPr>
            </w:pPr>
            <w:r>
              <w:rPr>
                <w:rFonts w:hint="eastAsia" w:eastAsia="宋体"/>
                <w:lang w:val="en-US" w:eastAsia="zh-CN"/>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UL to UL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1</w:t>
            </w:r>
            <w:r>
              <w:rPr>
                <w:rFonts w:hint="eastAsia" w:eastAsia="宋体"/>
                <w:lang w:val="en-US" w:eastAsia="zh-CN"/>
              </w:rPr>
              <w:t>5</w:t>
            </w:r>
            <w:r>
              <w:rPr>
                <w:rFonts w:hint="default"/>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eastAsia="ja-JP"/>
              </w:rPr>
            </w:pPr>
            <w:r>
              <w:rPr>
                <w:rFonts w:hint="default"/>
                <w:lang w:val="en-US" w:eastAsia="ja-JP"/>
              </w:rPr>
              <w:t>Dense urban</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ja-JP"/>
              </w:rPr>
            </w:pPr>
            <w:r>
              <w:rPr>
                <w:rFonts w:hint="default"/>
                <w:lang w:val="en-US" w:eastAsia="ja-JP"/>
              </w:rPr>
              <w:t>Down-prioritized</w:t>
            </w:r>
          </w:p>
        </w:tc>
      </w:tr>
    </w:tbl>
    <w:p>
      <w:pPr>
        <w:widowControl/>
        <w:jc w:val="left"/>
        <w:rPr>
          <w:rFonts w:hint="eastAsia" w:ascii="Times New Roman" w:hAnsi="Times New Roman" w:cs="Times New Roman"/>
          <w:b w:val="0"/>
          <w:bCs w:val="0"/>
          <w:lang w:val="en-US" w:eastAsia="zh-CN"/>
        </w:rPr>
      </w:pPr>
    </w:p>
    <w:p>
      <w:pPr>
        <w:widowControl/>
        <w:jc w:val="left"/>
        <w:rPr>
          <w:rFonts w:hint="eastAsia" w:ascii="Times New Roman" w:hAnsi="Times New Roman" w:cs="Times New Roman"/>
          <w:b w:val="0"/>
          <w:bCs w:val="0"/>
          <w:lang w:val="en-US" w:eastAsia="zh-CN"/>
        </w:rPr>
      </w:pPr>
      <w:r>
        <w:rPr>
          <w:rFonts w:hint="eastAsia" w:ascii="Times New Roman" w:hAnsi="Times New Roman" w:cs="Times New Roman"/>
          <w:b/>
          <w:bCs/>
          <w:lang w:val="en-US" w:eastAsia="zh-CN"/>
        </w:rPr>
        <w:t>Proposa</w:t>
      </w:r>
      <w:r>
        <w:rPr>
          <w:rFonts w:hint="eastAsia" w:cs="Times New Roman"/>
          <w:b/>
          <w:bCs/>
          <w:lang w:val="en-US" w:eastAsia="zh-CN"/>
        </w:rPr>
        <w:t>l</w:t>
      </w:r>
      <w:r>
        <w:rPr>
          <w:rFonts w:hint="eastAsia" w:ascii="Times New Roman" w:hAnsi="Times New Roman" w:cs="Times New Roman"/>
          <w:b/>
          <w:bCs/>
          <w:lang w:val="en-US" w:eastAsia="zh-CN"/>
        </w:rPr>
        <w:t xml:space="preserve"> </w:t>
      </w:r>
      <w:r>
        <w:rPr>
          <w:rFonts w:hint="eastAsia" w:cs="Times New Roman"/>
          <w:b/>
          <w:bCs/>
          <w:lang w:val="en-US" w:eastAsia="zh-CN"/>
        </w:rPr>
        <w:t>1</w:t>
      </w:r>
      <w:r>
        <w:rPr>
          <w:rFonts w:hint="eastAsia" w:ascii="Times New Roman" w:hAnsi="Times New Roman" w:cs="Times New Roman"/>
          <w:b w:val="0"/>
          <w:bCs w:val="0"/>
          <w:lang w:val="en-US" w:eastAsia="zh-CN"/>
        </w:rPr>
        <w:t>: for coexistence study for 14.8-15.35GHz, consider the coexistence cases as shown in Table 2.</w:t>
      </w:r>
      <w:r>
        <w:rPr>
          <w:rFonts w:hint="eastAsia" w:cs="Times New Roman"/>
          <w:b w:val="0"/>
          <w:bCs w:val="0"/>
          <w:lang w:val="en-US" w:eastAsia="zh-CN"/>
        </w:rPr>
        <w:t>1</w:t>
      </w:r>
      <w:r>
        <w:rPr>
          <w:rFonts w:hint="eastAsia" w:ascii="Times New Roman" w:hAnsi="Times New Roman" w:cs="Times New Roman"/>
          <w:b w:val="0"/>
          <w:bCs w:val="0"/>
          <w:lang w:val="en-US" w:eastAsia="zh-CN"/>
        </w:rPr>
        <w:t>-1 for further evaluation.</w:t>
      </w:r>
    </w:p>
    <w:p>
      <w:pPr>
        <w:widowControl/>
        <w:jc w:val="left"/>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For the network layout, the existing assumption in TR 38.920 could be referred as baseline. Regarding cell radius for Wide area deployment and Medium range deployment, this might need more discussions since this assumption is highly dependent on the link budget (e.g.including both BS and UE assumption) or targeted deployment for this frequency range. </w:t>
      </w:r>
    </w:p>
    <w:p>
      <w:pPr>
        <w:widowControl/>
        <w:jc w:val="left"/>
        <w:rPr>
          <w:rFonts w:hint="eastAsia" w:ascii="Times New Roman" w:hAnsi="Times New Roman" w:cs="Times New Roman"/>
          <w:b w:val="0"/>
          <w:bCs w:val="0"/>
          <w:lang w:val="en-US" w:eastAsia="zh-CN"/>
        </w:rPr>
      </w:pPr>
      <w:r>
        <w:rPr>
          <w:rFonts w:hint="eastAsia" w:ascii="Times New Roman" w:hAnsi="Times New Roman" w:cs="Times New Roman"/>
          <w:b/>
          <w:bCs/>
          <w:lang w:val="en-US" w:eastAsia="zh-CN"/>
        </w:rPr>
        <w:t>Proposa</w:t>
      </w:r>
      <w:r>
        <w:rPr>
          <w:rFonts w:hint="eastAsia" w:cs="Times New Roman"/>
          <w:b/>
          <w:bCs/>
          <w:lang w:val="en-US" w:eastAsia="zh-CN"/>
        </w:rPr>
        <w:t>l</w:t>
      </w:r>
      <w:r>
        <w:rPr>
          <w:rFonts w:hint="eastAsia" w:ascii="Times New Roman" w:hAnsi="Times New Roman" w:cs="Times New Roman"/>
          <w:b/>
          <w:bCs/>
          <w:lang w:val="en-US" w:eastAsia="zh-CN"/>
        </w:rPr>
        <w:t xml:space="preserve"> </w:t>
      </w:r>
      <w:r>
        <w:rPr>
          <w:rFonts w:hint="eastAsia" w:cs="Times New Roman"/>
          <w:b/>
          <w:bCs/>
          <w:lang w:val="en-US" w:eastAsia="zh-CN"/>
        </w:rPr>
        <w:t>2</w:t>
      </w:r>
      <w:r>
        <w:rPr>
          <w:rFonts w:hint="eastAsia" w:ascii="Times New Roman" w:hAnsi="Times New Roman" w:cs="Times New Roman"/>
          <w:b w:val="0"/>
          <w:bCs w:val="0"/>
          <w:lang w:val="en-US" w:eastAsia="zh-CN"/>
        </w:rPr>
        <w:t>: for the network layout,</w:t>
      </w:r>
      <w:r>
        <w:rPr>
          <w:rFonts w:eastAsia="MS Mincho"/>
          <w:lang w:eastAsia="ja-JP"/>
        </w:rPr>
        <w:t>Propagation model</w:t>
      </w:r>
      <w:r>
        <w:rPr>
          <w:rFonts w:hint="eastAsia"/>
          <w:lang w:val="en-US" w:eastAsia="zh-CN"/>
        </w:rPr>
        <w:t>,</w:t>
      </w:r>
      <w:r>
        <w:t>Transmission power control model</w:t>
      </w:r>
      <w:r>
        <w:rPr>
          <w:rFonts w:hint="eastAsia"/>
          <w:lang w:val="en-US" w:eastAsia="zh-CN"/>
        </w:rPr>
        <w:t>,</w:t>
      </w:r>
      <w:r>
        <w:t>Received power model</w:t>
      </w:r>
      <w:r>
        <w:rPr>
          <w:rFonts w:hint="eastAsia"/>
          <w:lang w:val="en-US" w:eastAsia="zh-CN"/>
        </w:rPr>
        <w:t>,</w:t>
      </w:r>
      <w:r>
        <w:t>ACLR and ACS modelling</w:t>
      </w:r>
      <w:r>
        <w:rPr>
          <w:rFonts w:hint="eastAsia"/>
          <w:lang w:val="en-US" w:eastAsia="zh-CN"/>
        </w:rPr>
        <w:t>,</w:t>
      </w:r>
      <w:r>
        <w:rPr>
          <w:rFonts w:eastAsia="MS Mincho"/>
        </w:rPr>
        <w:t>Link level performance for 5G NR coexistence</w:t>
      </w:r>
      <w:r>
        <w:rPr>
          <w:rFonts w:hint="eastAsia" w:ascii="Times New Roman" w:hAnsi="Times New Roman" w:cs="Times New Roman"/>
          <w:b w:val="0"/>
          <w:bCs w:val="0"/>
          <w:lang w:val="en-US" w:eastAsia="zh-CN"/>
        </w:rPr>
        <w:t xml:space="preserve"> for 14.8-15.35GHz, consider the existing assumption in TR 38.921 as baseline and further discuss the cell radius for Urban Macro and Dense Urban scenario.  </w:t>
      </w:r>
    </w:p>
    <w:p>
      <w:pPr>
        <w:widowControl/>
        <w:jc w:val="left"/>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Regarding the noise figure at 15GHz, the following assumption in TR 38.921 or TR 38.820 could be used as starting point to trigger the initial coexistence study calibration.  </w:t>
      </w:r>
    </w:p>
    <w:p>
      <w:pPr>
        <w:pStyle w:val="47"/>
        <w:rPr>
          <w:rFonts w:hint="default" w:eastAsia="宋体"/>
          <w:lang w:val="en-US" w:eastAsia="zh-CN"/>
        </w:rPr>
      </w:pPr>
      <w:r>
        <w:t>Table 6.2.1-1: Typical noise figure for 7 – 24 GHz example frequencies</w:t>
      </w:r>
      <w:r>
        <w:rPr>
          <w:rFonts w:hint="eastAsia"/>
          <w:lang w:val="en-US" w:eastAsia="zh-CN"/>
        </w:rPr>
        <w:t xml:space="preserve"> [TR 38.921]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047"/>
        <w:gridCol w:w="3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Example frequency (GHz)</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BS (dB)</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7 </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15</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8</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20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bl>
    <w:p>
      <w:pPr>
        <w:widowControl/>
        <w:jc w:val="left"/>
        <w:rPr>
          <w:rFonts w:hint="eastAsia"/>
          <w:highlight w:val="none"/>
          <w:lang w:val="en-US" w:eastAsia="zh-CN"/>
        </w:rPr>
      </w:pPr>
      <w:r>
        <w:rPr>
          <w:rFonts w:hint="eastAsia" w:ascii="Times New Roman" w:hAnsi="Times New Roman" w:cs="Times New Roman"/>
          <w:b/>
          <w:bCs/>
          <w:highlight w:val="none"/>
          <w:lang w:val="en-US" w:eastAsia="zh-CN"/>
        </w:rPr>
        <w:t xml:space="preserve">Proposa1 </w:t>
      </w:r>
      <w:r>
        <w:rPr>
          <w:rFonts w:hint="eastAsia" w:cs="Times New Roman"/>
          <w:b/>
          <w:bCs/>
          <w:highlight w:val="none"/>
          <w:lang w:val="en-US" w:eastAsia="zh-CN"/>
        </w:rPr>
        <w:t>3</w:t>
      </w:r>
      <w:r>
        <w:rPr>
          <w:rFonts w:hint="eastAsia" w:ascii="Times New Roman" w:hAnsi="Times New Roman" w:cs="Times New Roman"/>
          <w:b/>
          <w:bCs/>
          <w:highlight w:val="none"/>
          <w:lang w:val="en-US" w:eastAsia="zh-CN"/>
        </w:rPr>
        <w:t>:</w:t>
      </w:r>
      <w:r>
        <w:rPr>
          <w:rFonts w:hint="eastAsia" w:ascii="Times New Roman" w:hAnsi="Times New Roman" w:cs="Times New Roman"/>
          <w:b w:val="0"/>
          <w:bCs w:val="0"/>
          <w:highlight w:val="none"/>
          <w:lang w:val="en-US" w:eastAsia="zh-CN"/>
        </w:rPr>
        <w:t xml:space="preserve"> Regarding the noise figure at 15GHz, consider the NF value in </w:t>
      </w:r>
      <w:r>
        <w:rPr>
          <w:highlight w:val="none"/>
        </w:rPr>
        <w:t>Table 6.2.1-1</w:t>
      </w:r>
      <w:r>
        <w:rPr>
          <w:rFonts w:hint="eastAsia"/>
          <w:highlight w:val="none"/>
          <w:lang w:val="en-US" w:eastAsia="zh-CN"/>
        </w:rPr>
        <w:t xml:space="preserve"> of TR 38.921 as starting point. </w:t>
      </w:r>
    </w:p>
    <w:p>
      <w:pPr>
        <w:widowControl/>
        <w:jc w:val="left"/>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Regarding the BS transmission power and antenna assumption and also UE phase antenna array and its transmission power, this needs more discussions as we clarified in section 2.1 e.g. 512 antenna elements or 4096 antenna elements, whether UE is equipped with phase antenna array to increase the coverage to mitigate the gap between 15GHz and other lower bands. </w:t>
      </w:r>
    </w:p>
    <w:p>
      <w:pPr>
        <w:widowControl/>
        <w:jc w:val="left"/>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4</w:t>
      </w:r>
      <w:r>
        <w:rPr>
          <w:rFonts w:hint="eastAsia" w:ascii="Times New Roman" w:hAnsi="Times New Roman" w:cs="Times New Roman"/>
          <w:b/>
          <w:bCs/>
          <w:lang w:val="en-US" w:eastAsia="zh-CN"/>
        </w:rPr>
        <w:t>:</w:t>
      </w:r>
      <w:r>
        <w:rPr>
          <w:rFonts w:hint="eastAsia" w:ascii="Times New Roman" w:hAnsi="Times New Roman" w:cs="Times New Roman"/>
          <w:b w:val="0"/>
          <w:bCs w:val="0"/>
          <w:lang w:val="en-US" w:eastAsia="zh-CN"/>
        </w:rPr>
        <w:t xml:space="preserve"> for antenna array and transmission power assumption of BS and UE, this need more discussions. </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coexistence evaluations for </w:t>
      </w:r>
      <w:r>
        <w:rPr>
          <w:rFonts w:hint="eastAsia" w:cs="Times New Roman"/>
          <w:sz w:val="20"/>
          <w:szCs w:val="20"/>
          <w:lang w:val="en-US" w:eastAsia="zh-CN"/>
        </w:rPr>
        <w:t>14800-15350MHz and proposals/observations are made as following:</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w:t>
      </w:r>
      <w:r>
        <w:rPr>
          <w:rFonts w:hint="eastAsia" w:cs="Times New Roman"/>
          <w:b/>
          <w:bCs/>
          <w:highlight w:val="none"/>
          <w:lang w:val="en-US" w:eastAsia="zh-CN"/>
        </w:rPr>
        <w:t>l</w:t>
      </w:r>
      <w:r>
        <w:rPr>
          <w:rFonts w:hint="eastAsia" w:ascii="Times New Roman" w:hAnsi="Times New Roman" w:cs="Times New Roman"/>
          <w:b/>
          <w:bCs/>
          <w:highlight w:val="none"/>
          <w:lang w:val="en-US" w:eastAsia="zh-CN"/>
        </w:rPr>
        <w:t xml:space="preserve"> </w:t>
      </w:r>
      <w:r>
        <w:rPr>
          <w:rFonts w:hint="eastAsia" w:cs="Times New Roman"/>
          <w:b/>
          <w:bCs/>
          <w:highlight w:val="none"/>
          <w:lang w:val="en-US" w:eastAsia="zh-CN"/>
        </w:rPr>
        <w:t>1</w:t>
      </w:r>
      <w:r>
        <w:rPr>
          <w:rFonts w:hint="eastAsia" w:ascii="Times New Roman" w:hAnsi="Times New Roman" w:cs="Times New Roman"/>
          <w:b w:val="0"/>
          <w:bCs w:val="0"/>
          <w:highlight w:val="none"/>
          <w:lang w:val="en-US" w:eastAsia="zh-CN"/>
        </w:rPr>
        <w:t>: for coexistence study for 14.8-15.35GHz, consider the coexistence cases as shown in Table 2.</w:t>
      </w:r>
      <w:r>
        <w:rPr>
          <w:rFonts w:hint="eastAsia" w:cs="Times New Roman"/>
          <w:b w:val="0"/>
          <w:bCs w:val="0"/>
          <w:highlight w:val="none"/>
          <w:lang w:val="en-US" w:eastAsia="zh-CN"/>
        </w:rPr>
        <w:t>1</w:t>
      </w:r>
      <w:r>
        <w:rPr>
          <w:rFonts w:hint="eastAsia" w:ascii="Times New Roman" w:hAnsi="Times New Roman" w:cs="Times New Roman"/>
          <w:b w:val="0"/>
          <w:bCs w:val="0"/>
          <w:highlight w:val="none"/>
          <w:lang w:val="en-US" w:eastAsia="zh-CN"/>
        </w:rPr>
        <w:t>-1 for further evaluation.</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w:t>
      </w:r>
      <w:r>
        <w:rPr>
          <w:rFonts w:hint="eastAsia" w:cs="Times New Roman"/>
          <w:b/>
          <w:bCs/>
          <w:highlight w:val="none"/>
          <w:lang w:val="en-US" w:eastAsia="zh-CN"/>
        </w:rPr>
        <w:t>l</w:t>
      </w:r>
      <w:r>
        <w:rPr>
          <w:rFonts w:hint="eastAsia" w:ascii="Times New Roman" w:hAnsi="Times New Roman" w:cs="Times New Roman"/>
          <w:b/>
          <w:bCs/>
          <w:highlight w:val="none"/>
          <w:lang w:val="en-US" w:eastAsia="zh-CN"/>
        </w:rPr>
        <w:t xml:space="preserve"> </w:t>
      </w:r>
      <w:r>
        <w:rPr>
          <w:rFonts w:hint="eastAsia" w:cs="Times New Roman"/>
          <w:b/>
          <w:bCs/>
          <w:highlight w:val="none"/>
          <w:lang w:val="en-US" w:eastAsia="zh-CN"/>
        </w:rPr>
        <w:t>2</w:t>
      </w:r>
      <w:r>
        <w:rPr>
          <w:rFonts w:hint="eastAsia" w:ascii="Times New Roman" w:hAnsi="Times New Roman" w:cs="Times New Roman"/>
          <w:b w:val="0"/>
          <w:bCs w:val="0"/>
          <w:highlight w:val="none"/>
          <w:lang w:val="en-US" w:eastAsia="zh-CN"/>
        </w:rPr>
        <w:t>: for the network layout,</w:t>
      </w:r>
      <w:r>
        <w:rPr>
          <w:rFonts w:eastAsia="MS Mincho"/>
          <w:highlight w:val="none"/>
          <w:lang w:eastAsia="ja-JP"/>
        </w:rPr>
        <w:t>Propagation model</w:t>
      </w:r>
      <w:r>
        <w:rPr>
          <w:rFonts w:hint="eastAsia"/>
          <w:highlight w:val="none"/>
          <w:lang w:val="en-US" w:eastAsia="zh-CN"/>
        </w:rPr>
        <w:t>,</w:t>
      </w:r>
      <w:r>
        <w:rPr>
          <w:highlight w:val="none"/>
        </w:rPr>
        <w:t>Transmission power control model</w:t>
      </w:r>
      <w:r>
        <w:rPr>
          <w:rFonts w:hint="eastAsia"/>
          <w:highlight w:val="none"/>
          <w:lang w:val="en-US" w:eastAsia="zh-CN"/>
        </w:rPr>
        <w:t>,</w:t>
      </w:r>
      <w:r>
        <w:rPr>
          <w:highlight w:val="none"/>
        </w:rPr>
        <w:t>Received power model</w:t>
      </w:r>
      <w:r>
        <w:rPr>
          <w:rFonts w:hint="eastAsia"/>
          <w:highlight w:val="none"/>
          <w:lang w:val="en-US" w:eastAsia="zh-CN"/>
        </w:rPr>
        <w:t>,</w:t>
      </w:r>
      <w:r>
        <w:rPr>
          <w:highlight w:val="none"/>
        </w:rPr>
        <w:t>ACLR and ACS modelling</w:t>
      </w:r>
      <w:r>
        <w:rPr>
          <w:rFonts w:hint="eastAsia"/>
          <w:highlight w:val="none"/>
          <w:lang w:val="en-US" w:eastAsia="zh-CN"/>
        </w:rPr>
        <w:t>,</w:t>
      </w:r>
      <w:r>
        <w:rPr>
          <w:rFonts w:eastAsia="MS Mincho"/>
          <w:highlight w:val="none"/>
        </w:rPr>
        <w:t>Link level performance for 5G NR coexistence</w:t>
      </w:r>
      <w:r>
        <w:rPr>
          <w:rFonts w:hint="eastAsia" w:ascii="Times New Roman" w:hAnsi="Times New Roman" w:cs="Times New Roman"/>
          <w:b w:val="0"/>
          <w:bCs w:val="0"/>
          <w:highlight w:val="none"/>
          <w:lang w:val="en-US" w:eastAsia="zh-CN"/>
        </w:rPr>
        <w:t xml:space="preserve"> for 14.8-15.35GHz, consider the existing assumption in TR 38.921 as baseline and further discuss the cell radius for Urban Macro and Dense Urban scenario.  </w:t>
      </w:r>
    </w:p>
    <w:p>
      <w:pPr>
        <w:widowControl/>
        <w:jc w:val="left"/>
        <w:rPr>
          <w:rFonts w:hint="eastAsia"/>
          <w:highlight w:val="none"/>
          <w:lang w:val="en-US" w:eastAsia="zh-CN"/>
        </w:rPr>
      </w:pPr>
      <w:r>
        <w:rPr>
          <w:rFonts w:hint="eastAsia" w:ascii="Times New Roman" w:hAnsi="Times New Roman" w:cs="Times New Roman"/>
          <w:b/>
          <w:bCs/>
          <w:highlight w:val="none"/>
          <w:lang w:val="en-US" w:eastAsia="zh-CN"/>
        </w:rPr>
        <w:t xml:space="preserve">Proposa1 </w:t>
      </w:r>
      <w:r>
        <w:rPr>
          <w:rFonts w:hint="eastAsia" w:cs="Times New Roman"/>
          <w:b/>
          <w:bCs/>
          <w:highlight w:val="none"/>
          <w:lang w:val="en-US" w:eastAsia="zh-CN"/>
        </w:rPr>
        <w:t>3</w:t>
      </w:r>
      <w:r>
        <w:rPr>
          <w:rFonts w:hint="eastAsia" w:ascii="Times New Roman" w:hAnsi="Times New Roman" w:cs="Times New Roman"/>
          <w:b/>
          <w:bCs/>
          <w:highlight w:val="none"/>
          <w:lang w:val="en-US" w:eastAsia="zh-CN"/>
        </w:rPr>
        <w:t>:</w:t>
      </w:r>
      <w:r>
        <w:rPr>
          <w:rFonts w:hint="eastAsia" w:ascii="Times New Roman" w:hAnsi="Times New Roman" w:cs="Times New Roman"/>
          <w:b w:val="0"/>
          <w:bCs w:val="0"/>
          <w:highlight w:val="none"/>
          <w:lang w:val="en-US" w:eastAsia="zh-CN"/>
        </w:rPr>
        <w:t xml:space="preserve"> Regarding the noise figure at 15GHz, consider the NF value in </w:t>
      </w:r>
      <w:r>
        <w:rPr>
          <w:highlight w:val="none"/>
        </w:rPr>
        <w:t>Table 6.2.1-1</w:t>
      </w:r>
      <w:r>
        <w:rPr>
          <w:rFonts w:hint="eastAsia"/>
          <w:highlight w:val="none"/>
          <w:lang w:val="en-US" w:eastAsia="zh-CN"/>
        </w:rPr>
        <w:t xml:space="preserve"> of TR 38.921 as starting point. </w:t>
      </w:r>
    </w:p>
    <w:p>
      <w:pPr>
        <w:widowControl/>
        <w:jc w:val="left"/>
        <w:rPr>
          <w:rFonts w:hint="default" w:cs="Times New Roman"/>
          <w:sz w:val="20"/>
          <w:szCs w:val="20"/>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4</w:t>
      </w:r>
      <w:r>
        <w:rPr>
          <w:rFonts w:hint="eastAsia" w:ascii="Times New Roman" w:hAnsi="Times New Roman" w:cs="Times New Roman"/>
          <w:b/>
          <w:bCs/>
          <w:highlight w:val="none"/>
          <w:lang w:val="en-US" w:eastAsia="zh-CN"/>
        </w:rPr>
        <w:t>:</w:t>
      </w:r>
      <w:r>
        <w:rPr>
          <w:rFonts w:hint="eastAsia" w:ascii="Times New Roman" w:hAnsi="Times New Roman" w:cs="Times New Roman"/>
          <w:b w:val="0"/>
          <w:bCs w:val="0"/>
          <w:highlight w:val="none"/>
          <w:lang w:val="en-US" w:eastAsia="zh-CN"/>
        </w:rPr>
        <w:t xml:space="preserve"> for antenna array and transmission power assumption of BS and UE, this need more discussions. </w:t>
      </w:r>
    </w:p>
    <w:p>
      <w:pPr>
        <w:pStyle w:val="57"/>
        <w:tabs>
          <w:tab w:val="left" w:pos="567"/>
          <w:tab w:val="clear" w:pos="1985"/>
        </w:tabs>
        <w:adjustRightInd w:val="0"/>
        <w:ind w:left="510" w:hanging="510"/>
      </w:pPr>
      <w:r>
        <w:t>References</w:t>
      </w:r>
    </w:p>
    <w:p>
      <w:pPr>
        <w:pStyle w:val="55"/>
        <w:numPr>
          <w:ilvl w:val="0"/>
          <w:numId w:val="5"/>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5"/>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5"/>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5"/>
        </w:numPr>
        <w:rPr>
          <w:rFonts w:hint="eastAsia"/>
          <w:sz w:val="20"/>
          <w:szCs w:val="20"/>
        </w:rPr>
      </w:pPr>
      <w:r>
        <w:rPr>
          <w:rFonts w:hint="eastAsia"/>
          <w:sz w:val="20"/>
          <w:szCs w:val="20"/>
          <w:lang w:val="en-US" w:eastAsia="zh-CN"/>
        </w:rPr>
        <w:t>TR 38.921</w:t>
      </w:r>
    </w:p>
    <w:p>
      <w:pPr>
        <w:pStyle w:val="55"/>
        <w:numPr>
          <w:ilvl w:val="0"/>
          <w:numId w:val="5"/>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5"/>
        </w:numPr>
        <w:rPr>
          <w:rFonts w:hint="eastAsia"/>
          <w:sz w:val="20"/>
          <w:szCs w:val="20"/>
        </w:rPr>
      </w:pPr>
      <w:r>
        <w:rPr>
          <w:rFonts w:hint="eastAsia" w:ascii="Times New Roman" w:hAnsi="Times New Roman" w:eastAsia="宋体" w:cs="Times New Roman"/>
          <w:kern w:val="2"/>
          <w:sz w:val="20"/>
          <w:szCs w:val="20"/>
          <w:lang w:val="en-US" w:eastAsia="zh-CN" w:bidi="ar"/>
        </w:rPr>
        <w:t>R4-2211224</w:t>
      </w:r>
      <w:r>
        <w:rPr>
          <w:rFonts w:hint="eastAsia" w:cs="Times New Roman"/>
          <w:kern w:val="2"/>
          <w:sz w:val="20"/>
          <w:szCs w:val="20"/>
          <w:lang w:val="en-US" w:eastAsia="zh-CN" w:bidi="ar"/>
        </w:rPr>
        <w:t xml:space="preserve">, </w:t>
      </w:r>
      <w:r>
        <w:rPr>
          <w:rFonts w:hint="eastAsia" w:ascii="Times New Roman" w:hAnsi="Times New Roman" w:eastAsia="宋体" w:cs="Times New Roman"/>
          <w:kern w:val="2"/>
          <w:sz w:val="20"/>
          <w:szCs w:val="20"/>
          <w:lang w:val="en-US" w:eastAsia="zh-CN" w:bidi="ar"/>
        </w:rPr>
        <w:t xml:space="preserve">Introduction of NR licensed band 6425 </w:t>
      </w:r>
      <w:r>
        <w:rPr>
          <w:rFonts w:hint="eastAsia" w:cs="Times New Roman"/>
          <w:kern w:val="2"/>
          <w:sz w:val="20"/>
          <w:szCs w:val="20"/>
          <w:lang w:val="en-US" w:eastAsia="zh-CN" w:bidi="ar"/>
        </w:rPr>
        <w:t>-</w:t>
      </w:r>
      <w:r>
        <w:rPr>
          <w:rFonts w:hint="eastAsia" w:ascii="Times New Roman" w:hAnsi="Times New Roman" w:eastAsia="宋体" w:cs="Times New Roman"/>
          <w:kern w:val="2"/>
          <w:sz w:val="20"/>
          <w:szCs w:val="20"/>
          <w:lang w:val="en-US" w:eastAsia="zh-CN" w:bidi="ar"/>
        </w:rPr>
        <w:t>7125 MHz</w:t>
      </w:r>
      <w:r>
        <w:rPr>
          <w:rFonts w:hint="eastAsia" w:cs="Times New Roman"/>
          <w:kern w:val="2"/>
          <w:sz w:val="20"/>
          <w:szCs w:val="20"/>
          <w:lang w:val="en-US" w:eastAsia="zh-CN" w:bidi="ar"/>
        </w:rPr>
        <w:t>, Approved.</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F503AC6"/>
    <w:multiLevelType w:val="multilevel"/>
    <w:tmpl w:val="2F503A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970564F"/>
    <w:multiLevelType w:val="multilevel"/>
    <w:tmpl w:val="597056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F43239C"/>
    <w:multiLevelType w:val="multilevel"/>
    <w:tmpl w:val="6F4323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9203D"/>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074686"/>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85AD0"/>
    <w:rsid w:val="0B5C1166"/>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74F98"/>
    <w:rsid w:val="0E794AC9"/>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77EDF"/>
    <w:rsid w:val="0EEC53AA"/>
    <w:rsid w:val="0EF75D05"/>
    <w:rsid w:val="0EF957FE"/>
    <w:rsid w:val="0EFE2ACB"/>
    <w:rsid w:val="0F0752A8"/>
    <w:rsid w:val="0F087675"/>
    <w:rsid w:val="0F0D240A"/>
    <w:rsid w:val="0F0E2F3A"/>
    <w:rsid w:val="0F12247A"/>
    <w:rsid w:val="0F1D0ECD"/>
    <w:rsid w:val="0F25602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B100A"/>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AF7E37"/>
    <w:rsid w:val="12B1068C"/>
    <w:rsid w:val="12B371AD"/>
    <w:rsid w:val="12B43B19"/>
    <w:rsid w:val="12B5075C"/>
    <w:rsid w:val="12BC3C60"/>
    <w:rsid w:val="12C15F00"/>
    <w:rsid w:val="12C2679E"/>
    <w:rsid w:val="12C667C3"/>
    <w:rsid w:val="12C77089"/>
    <w:rsid w:val="12CB4026"/>
    <w:rsid w:val="12D16C9D"/>
    <w:rsid w:val="12D20ECB"/>
    <w:rsid w:val="12D3580F"/>
    <w:rsid w:val="12D93C20"/>
    <w:rsid w:val="12D95CCD"/>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1735C"/>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874EA"/>
    <w:rsid w:val="14AC358C"/>
    <w:rsid w:val="14AD2764"/>
    <w:rsid w:val="14B227CC"/>
    <w:rsid w:val="14B76730"/>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23737"/>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331DAD"/>
    <w:rsid w:val="18397C4D"/>
    <w:rsid w:val="183E4121"/>
    <w:rsid w:val="183F3DA9"/>
    <w:rsid w:val="184068C1"/>
    <w:rsid w:val="18420253"/>
    <w:rsid w:val="1848540C"/>
    <w:rsid w:val="184D7802"/>
    <w:rsid w:val="18524B4C"/>
    <w:rsid w:val="18533B98"/>
    <w:rsid w:val="185546D2"/>
    <w:rsid w:val="185A7BDE"/>
    <w:rsid w:val="18674D45"/>
    <w:rsid w:val="186B15D6"/>
    <w:rsid w:val="186C1DBE"/>
    <w:rsid w:val="186C5153"/>
    <w:rsid w:val="186E738D"/>
    <w:rsid w:val="186F36A8"/>
    <w:rsid w:val="18710E9B"/>
    <w:rsid w:val="187640ED"/>
    <w:rsid w:val="18804AA7"/>
    <w:rsid w:val="18850ACD"/>
    <w:rsid w:val="188C347D"/>
    <w:rsid w:val="188C4F53"/>
    <w:rsid w:val="18A059C8"/>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A361C"/>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84D8B"/>
    <w:rsid w:val="19CA4702"/>
    <w:rsid w:val="19D01D27"/>
    <w:rsid w:val="19D472FE"/>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24896"/>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A43C9"/>
    <w:rsid w:val="1CCD6D74"/>
    <w:rsid w:val="1CD363DF"/>
    <w:rsid w:val="1CD8702E"/>
    <w:rsid w:val="1CD97139"/>
    <w:rsid w:val="1CE13063"/>
    <w:rsid w:val="1CE2616E"/>
    <w:rsid w:val="1CE533B7"/>
    <w:rsid w:val="1CF15683"/>
    <w:rsid w:val="1CF333A5"/>
    <w:rsid w:val="1CF53F65"/>
    <w:rsid w:val="1CF702E1"/>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F01649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6C0B"/>
    <w:rsid w:val="22680B07"/>
    <w:rsid w:val="22681A0E"/>
    <w:rsid w:val="226E20BA"/>
    <w:rsid w:val="22713317"/>
    <w:rsid w:val="227D6059"/>
    <w:rsid w:val="227F5037"/>
    <w:rsid w:val="228041D7"/>
    <w:rsid w:val="22871AF1"/>
    <w:rsid w:val="228A008B"/>
    <w:rsid w:val="228A2082"/>
    <w:rsid w:val="228D63FC"/>
    <w:rsid w:val="22914245"/>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3FB3044"/>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62FEE"/>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BD2331"/>
    <w:rsid w:val="26C36DE5"/>
    <w:rsid w:val="26C9404D"/>
    <w:rsid w:val="26CD53A8"/>
    <w:rsid w:val="26D2031D"/>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41E22"/>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79737F"/>
    <w:rsid w:val="288104BE"/>
    <w:rsid w:val="28821314"/>
    <w:rsid w:val="28892907"/>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53C20"/>
    <w:rsid w:val="2EFC5DDD"/>
    <w:rsid w:val="2F002CCF"/>
    <w:rsid w:val="2F0160A3"/>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B54EA"/>
    <w:rsid w:val="2F805714"/>
    <w:rsid w:val="2F811998"/>
    <w:rsid w:val="2F8166C8"/>
    <w:rsid w:val="2F8640C4"/>
    <w:rsid w:val="2F8E5F5C"/>
    <w:rsid w:val="2F921FAC"/>
    <w:rsid w:val="2F972B68"/>
    <w:rsid w:val="2F9874EB"/>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DE7DEF"/>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41397"/>
    <w:rsid w:val="3238698E"/>
    <w:rsid w:val="323C17A1"/>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91003"/>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873DF"/>
    <w:rsid w:val="393962EC"/>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54FBF"/>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4E3C3B"/>
    <w:rsid w:val="3D58163A"/>
    <w:rsid w:val="3D5A05E2"/>
    <w:rsid w:val="3D5C63D4"/>
    <w:rsid w:val="3D5E50E6"/>
    <w:rsid w:val="3D5F6029"/>
    <w:rsid w:val="3D6065CA"/>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B4AAE"/>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216875"/>
    <w:rsid w:val="412506DF"/>
    <w:rsid w:val="412D52A9"/>
    <w:rsid w:val="41320BD6"/>
    <w:rsid w:val="413314B6"/>
    <w:rsid w:val="4133548F"/>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311DE"/>
    <w:rsid w:val="42552CD5"/>
    <w:rsid w:val="42571AE1"/>
    <w:rsid w:val="425C6315"/>
    <w:rsid w:val="42637522"/>
    <w:rsid w:val="4268449D"/>
    <w:rsid w:val="42697E79"/>
    <w:rsid w:val="426E536F"/>
    <w:rsid w:val="427034C5"/>
    <w:rsid w:val="42730E0D"/>
    <w:rsid w:val="427409B9"/>
    <w:rsid w:val="427B4567"/>
    <w:rsid w:val="427E301C"/>
    <w:rsid w:val="42831021"/>
    <w:rsid w:val="42863926"/>
    <w:rsid w:val="4287026E"/>
    <w:rsid w:val="42873CB7"/>
    <w:rsid w:val="428A607C"/>
    <w:rsid w:val="429110B8"/>
    <w:rsid w:val="429252A3"/>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4334C"/>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96286"/>
    <w:rsid w:val="466D3070"/>
    <w:rsid w:val="4671651F"/>
    <w:rsid w:val="467455D2"/>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838C0"/>
    <w:rsid w:val="47FA20F9"/>
    <w:rsid w:val="47FF3A74"/>
    <w:rsid w:val="48041F1C"/>
    <w:rsid w:val="480B1862"/>
    <w:rsid w:val="480B7A59"/>
    <w:rsid w:val="48111DC2"/>
    <w:rsid w:val="48156BFB"/>
    <w:rsid w:val="481E5F8D"/>
    <w:rsid w:val="48204877"/>
    <w:rsid w:val="48211604"/>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54F4E"/>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D484D"/>
    <w:rsid w:val="49C20C6C"/>
    <w:rsid w:val="49C34948"/>
    <w:rsid w:val="49CE0C89"/>
    <w:rsid w:val="49D93C20"/>
    <w:rsid w:val="49DA3FD3"/>
    <w:rsid w:val="49DA7AB7"/>
    <w:rsid w:val="49DC5944"/>
    <w:rsid w:val="49DD38B2"/>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11535"/>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8B54DD"/>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333E8"/>
    <w:rsid w:val="54550067"/>
    <w:rsid w:val="54580F5A"/>
    <w:rsid w:val="545D3E4A"/>
    <w:rsid w:val="54757648"/>
    <w:rsid w:val="5478695B"/>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337DD"/>
    <w:rsid w:val="54E85E2E"/>
    <w:rsid w:val="54E95643"/>
    <w:rsid w:val="550E6C32"/>
    <w:rsid w:val="55156991"/>
    <w:rsid w:val="551C2E90"/>
    <w:rsid w:val="552D52C7"/>
    <w:rsid w:val="55397CF2"/>
    <w:rsid w:val="5546565D"/>
    <w:rsid w:val="554E0863"/>
    <w:rsid w:val="555737A6"/>
    <w:rsid w:val="55577AFF"/>
    <w:rsid w:val="55597711"/>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56500"/>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F5936"/>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1416"/>
    <w:rsid w:val="5F8C52DB"/>
    <w:rsid w:val="5F8D7479"/>
    <w:rsid w:val="5F8E4E13"/>
    <w:rsid w:val="5F9005B9"/>
    <w:rsid w:val="5F9175F2"/>
    <w:rsid w:val="5F9654CD"/>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866E8"/>
    <w:rsid w:val="63E263F4"/>
    <w:rsid w:val="63E418C9"/>
    <w:rsid w:val="63F518A5"/>
    <w:rsid w:val="63F55755"/>
    <w:rsid w:val="63FB6EC6"/>
    <w:rsid w:val="63FD7654"/>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3E7C"/>
    <w:rsid w:val="64E5543E"/>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11D83"/>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07681"/>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2830F3"/>
    <w:rsid w:val="6C3A624E"/>
    <w:rsid w:val="6C3F4795"/>
    <w:rsid w:val="6C416227"/>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205EA"/>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814AA3"/>
    <w:rsid w:val="738744DD"/>
    <w:rsid w:val="73893467"/>
    <w:rsid w:val="738A36E1"/>
    <w:rsid w:val="73912A81"/>
    <w:rsid w:val="73970334"/>
    <w:rsid w:val="739B1EFF"/>
    <w:rsid w:val="73A16D22"/>
    <w:rsid w:val="73B001E3"/>
    <w:rsid w:val="73B04FEC"/>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0BB4"/>
    <w:rsid w:val="751E29FC"/>
    <w:rsid w:val="752B3381"/>
    <w:rsid w:val="75325694"/>
    <w:rsid w:val="7534402F"/>
    <w:rsid w:val="75376E15"/>
    <w:rsid w:val="753B454F"/>
    <w:rsid w:val="753D6B7D"/>
    <w:rsid w:val="75441B17"/>
    <w:rsid w:val="75457EFF"/>
    <w:rsid w:val="754E2D0D"/>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A069EC"/>
    <w:rsid w:val="7FAC155A"/>
    <w:rsid w:val="7FB351E6"/>
    <w:rsid w:val="7FB422D4"/>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2024-05-13T15:11:08Z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